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3107F" w:rsidRDefault="00750C2A">
      <w:pPr>
        <w:widowControl w:val="0"/>
        <w:pBdr>
          <w:top w:val="nil"/>
          <w:left w:val="nil"/>
          <w:bottom w:val="nil"/>
          <w:right w:val="nil"/>
          <w:between w:val="nil"/>
        </w:pBdr>
        <w:spacing w:line="240" w:lineRule="auto"/>
        <w:ind w:right="17"/>
        <w:jc w:val="right"/>
        <w:rPr>
          <w:rFonts w:ascii="Calibri" w:eastAsia="Calibri" w:hAnsi="Calibri" w:cs="Calibri"/>
          <w:color w:val="000000"/>
          <w:sz w:val="20"/>
          <w:szCs w:val="20"/>
        </w:rPr>
      </w:pPr>
      <w:r>
        <w:rPr>
          <w:rFonts w:ascii="Calibri" w:eastAsia="Calibri" w:hAnsi="Calibri" w:cs="Calibri"/>
          <w:sz w:val="20"/>
          <w:szCs w:val="20"/>
        </w:rPr>
        <w:t xml:space="preserve"> </w:t>
      </w:r>
      <w:r>
        <w:rPr>
          <w:rFonts w:ascii="Calibri" w:eastAsia="Calibri" w:hAnsi="Calibri" w:cs="Calibri"/>
          <w:color w:val="000000"/>
          <w:sz w:val="20"/>
          <w:szCs w:val="20"/>
        </w:rPr>
        <w:t>0</w:t>
      </w:r>
      <w:r>
        <w:rPr>
          <w:rFonts w:ascii="Calibri" w:eastAsia="Calibri" w:hAnsi="Calibri" w:cs="Calibri"/>
          <w:sz w:val="20"/>
          <w:szCs w:val="20"/>
        </w:rPr>
        <w:t>5</w:t>
      </w:r>
      <w:r>
        <w:rPr>
          <w:rFonts w:ascii="Calibri" w:eastAsia="Calibri" w:hAnsi="Calibri" w:cs="Calibri"/>
          <w:color w:val="000000"/>
          <w:sz w:val="20"/>
          <w:szCs w:val="20"/>
        </w:rPr>
        <w:t>-</w:t>
      </w:r>
      <w:r>
        <w:rPr>
          <w:rFonts w:ascii="Calibri" w:eastAsia="Calibri" w:hAnsi="Calibri" w:cs="Calibri"/>
          <w:sz w:val="20"/>
          <w:szCs w:val="20"/>
        </w:rPr>
        <w:t>Jan</w:t>
      </w:r>
      <w:r>
        <w:rPr>
          <w:rFonts w:ascii="Calibri" w:eastAsia="Calibri" w:hAnsi="Calibri" w:cs="Calibri"/>
          <w:color w:val="000000"/>
          <w:sz w:val="20"/>
          <w:szCs w:val="20"/>
        </w:rPr>
        <w:t>-2021</w:t>
      </w:r>
      <w:r>
        <w:rPr>
          <w:rFonts w:ascii="Calibri" w:eastAsia="Calibri" w:hAnsi="Calibri" w:cs="Calibri"/>
          <w:sz w:val="20"/>
          <w:szCs w:val="20"/>
        </w:rPr>
        <w:t>3</w:t>
      </w:r>
    </w:p>
    <w:p w14:paraId="00000002" w14:textId="77777777" w:rsidR="0013107F" w:rsidRDefault="00750C2A">
      <w:pPr>
        <w:widowControl w:val="0"/>
        <w:pBdr>
          <w:top w:val="nil"/>
          <w:left w:val="nil"/>
          <w:bottom w:val="nil"/>
          <w:right w:val="nil"/>
          <w:between w:val="nil"/>
        </w:pBdr>
        <w:spacing w:before="52" w:line="240" w:lineRule="auto"/>
        <w:ind w:left="74"/>
        <w:rPr>
          <w:rFonts w:ascii="Calibri" w:eastAsia="Calibri" w:hAnsi="Calibri" w:cs="Calibri"/>
          <w:color w:val="000000"/>
        </w:rPr>
      </w:pPr>
      <w:r>
        <w:rPr>
          <w:rFonts w:ascii="Calibri" w:eastAsia="Calibri" w:hAnsi="Calibri" w:cs="Calibri"/>
          <w:color w:val="000000"/>
        </w:rPr>
        <w:t xml:space="preserve">MEMORANDUM  </w:t>
      </w:r>
    </w:p>
    <w:p w14:paraId="00000003" w14:textId="77777777" w:rsidR="0013107F" w:rsidRDefault="00750C2A">
      <w:pPr>
        <w:widowControl w:val="0"/>
        <w:pBdr>
          <w:top w:val="nil"/>
          <w:left w:val="nil"/>
          <w:bottom w:val="nil"/>
          <w:right w:val="nil"/>
          <w:between w:val="nil"/>
        </w:pBdr>
        <w:spacing w:before="279" w:line="240" w:lineRule="auto"/>
        <w:ind w:left="8"/>
        <w:rPr>
          <w:rFonts w:ascii="Calibri" w:eastAsia="Calibri" w:hAnsi="Calibri" w:cs="Calibri"/>
          <w:color w:val="000000"/>
        </w:rPr>
      </w:pPr>
      <w:r>
        <w:rPr>
          <w:rFonts w:ascii="Calibri" w:eastAsia="Calibri" w:hAnsi="Calibri" w:cs="Calibri"/>
          <w:color w:val="000000"/>
        </w:rPr>
        <w:t xml:space="preserve">TO: Arlington School Board  </w:t>
      </w:r>
    </w:p>
    <w:p w14:paraId="00000004" w14:textId="77777777" w:rsidR="0013107F" w:rsidRDefault="00750C2A">
      <w:pPr>
        <w:widowControl w:val="0"/>
        <w:pBdr>
          <w:top w:val="nil"/>
          <w:left w:val="nil"/>
          <w:bottom w:val="nil"/>
          <w:right w:val="nil"/>
          <w:between w:val="nil"/>
        </w:pBdr>
        <w:spacing w:before="279" w:line="240" w:lineRule="auto"/>
        <w:ind w:left="25"/>
        <w:rPr>
          <w:rFonts w:ascii="Calibri" w:eastAsia="Calibri" w:hAnsi="Calibri" w:cs="Calibri"/>
          <w:color w:val="000000"/>
        </w:rPr>
      </w:pPr>
      <w:r>
        <w:rPr>
          <w:rFonts w:ascii="Calibri" w:eastAsia="Calibri" w:hAnsi="Calibri" w:cs="Calibri"/>
          <w:color w:val="000000"/>
        </w:rPr>
        <w:t xml:space="preserve">FROM: Career, Technical, and Adult Education Advisory Committee </w:t>
      </w:r>
    </w:p>
    <w:p w14:paraId="00000005" w14:textId="77777777" w:rsidR="0013107F" w:rsidRDefault="00750C2A">
      <w:pPr>
        <w:widowControl w:val="0"/>
        <w:pBdr>
          <w:top w:val="nil"/>
          <w:left w:val="nil"/>
          <w:bottom w:val="nil"/>
          <w:right w:val="nil"/>
          <w:between w:val="nil"/>
        </w:pBdr>
        <w:spacing w:before="279" w:line="240" w:lineRule="auto"/>
        <w:ind w:left="25"/>
        <w:rPr>
          <w:rFonts w:ascii="Calibri" w:eastAsia="Calibri" w:hAnsi="Calibri" w:cs="Calibri"/>
          <w:color w:val="000000"/>
        </w:rPr>
      </w:pPr>
      <w:r>
        <w:rPr>
          <w:rFonts w:ascii="Calibri" w:eastAsia="Calibri" w:hAnsi="Calibri" w:cs="Calibri"/>
          <w:color w:val="000000"/>
        </w:rPr>
        <w:t xml:space="preserve">DATE: </w:t>
      </w:r>
      <w:r>
        <w:rPr>
          <w:rFonts w:ascii="Calibri" w:eastAsia="Calibri" w:hAnsi="Calibri" w:cs="Calibri"/>
        </w:rPr>
        <w:t>January 5. 2023</w:t>
      </w:r>
    </w:p>
    <w:p w14:paraId="00000006" w14:textId="77777777" w:rsidR="0013107F" w:rsidRDefault="00750C2A">
      <w:pPr>
        <w:widowControl w:val="0"/>
        <w:pBdr>
          <w:top w:val="nil"/>
          <w:left w:val="nil"/>
          <w:bottom w:val="nil"/>
          <w:right w:val="nil"/>
          <w:between w:val="nil"/>
        </w:pBdr>
        <w:spacing w:before="279" w:line="240" w:lineRule="auto"/>
        <w:ind w:left="14"/>
        <w:rPr>
          <w:rFonts w:ascii="Calibri" w:eastAsia="Calibri" w:hAnsi="Calibri" w:cs="Calibri"/>
          <w:color w:val="000000"/>
        </w:rPr>
      </w:pPr>
      <w:r>
        <w:rPr>
          <w:rFonts w:ascii="Calibri" w:eastAsia="Calibri" w:hAnsi="Calibri" w:cs="Calibri"/>
          <w:color w:val="000000"/>
        </w:rPr>
        <w:t xml:space="preserve">SUBJECT: Recommending Year Report </w:t>
      </w:r>
    </w:p>
    <w:p w14:paraId="00000007" w14:textId="77777777" w:rsidR="0013107F" w:rsidRDefault="00750C2A">
      <w:pPr>
        <w:widowControl w:val="0"/>
        <w:pBdr>
          <w:top w:val="nil"/>
          <w:left w:val="nil"/>
          <w:bottom w:val="nil"/>
          <w:right w:val="nil"/>
          <w:between w:val="nil"/>
        </w:pBdr>
        <w:spacing w:before="275" w:line="240" w:lineRule="auto"/>
        <w:ind w:left="17"/>
        <w:rPr>
          <w:rFonts w:ascii="Calibri" w:eastAsia="Calibri" w:hAnsi="Calibri" w:cs="Calibri"/>
          <w:color w:val="000000"/>
        </w:rPr>
      </w:pPr>
      <w:r>
        <w:rPr>
          <w:rFonts w:ascii="Calibri" w:eastAsia="Calibri" w:hAnsi="Calibri" w:cs="Calibri"/>
          <w:color w:val="000000"/>
        </w:rPr>
        <w:t xml:space="preserve">COMMITTEE CO-CHAIR: Dan </w:t>
      </w:r>
      <w:proofErr w:type="spellStart"/>
      <w:r>
        <w:rPr>
          <w:rFonts w:ascii="Calibri" w:eastAsia="Calibri" w:hAnsi="Calibri" w:cs="Calibri"/>
          <w:color w:val="000000"/>
        </w:rPr>
        <w:t>Marschall</w:t>
      </w:r>
      <w:proofErr w:type="spellEnd"/>
      <w:r>
        <w:rPr>
          <w:rFonts w:ascii="Calibri" w:eastAsia="Calibri" w:hAnsi="Calibri" w:cs="Calibri"/>
          <w:color w:val="000000"/>
        </w:rPr>
        <w:t xml:space="preserve"> </w:t>
      </w:r>
    </w:p>
    <w:p w14:paraId="00000008" w14:textId="77777777" w:rsidR="0013107F" w:rsidRDefault="00750C2A">
      <w:pPr>
        <w:widowControl w:val="0"/>
        <w:pBdr>
          <w:top w:val="nil"/>
          <w:left w:val="nil"/>
          <w:bottom w:val="nil"/>
          <w:right w:val="nil"/>
          <w:between w:val="nil"/>
        </w:pBdr>
        <w:spacing w:before="11" w:line="240" w:lineRule="auto"/>
        <w:ind w:left="17"/>
        <w:rPr>
          <w:rFonts w:ascii="Calibri" w:eastAsia="Calibri" w:hAnsi="Calibri" w:cs="Calibri"/>
          <w:color w:val="000000"/>
        </w:rPr>
      </w:pPr>
      <w:r>
        <w:rPr>
          <w:rFonts w:ascii="Calibri" w:eastAsia="Calibri" w:hAnsi="Calibri" w:cs="Calibri"/>
          <w:color w:val="000000"/>
        </w:rPr>
        <w:t xml:space="preserve">COMMITTEE CO-CHAIR: Rosie O’Neil </w:t>
      </w:r>
    </w:p>
    <w:p w14:paraId="00000009" w14:textId="77777777" w:rsidR="0013107F" w:rsidRDefault="00750C2A">
      <w:pPr>
        <w:widowControl w:val="0"/>
        <w:pBdr>
          <w:top w:val="nil"/>
          <w:left w:val="nil"/>
          <w:bottom w:val="nil"/>
          <w:right w:val="nil"/>
          <w:between w:val="nil"/>
        </w:pBdr>
        <w:spacing w:before="11" w:line="243" w:lineRule="auto"/>
        <w:ind w:left="14" w:right="850" w:firstLine="2"/>
        <w:rPr>
          <w:rFonts w:ascii="Calibri" w:eastAsia="Calibri" w:hAnsi="Calibri" w:cs="Calibri"/>
        </w:rPr>
      </w:pPr>
      <w:r>
        <w:rPr>
          <w:rFonts w:ascii="Calibri" w:eastAsia="Calibri" w:hAnsi="Calibri" w:cs="Calibri"/>
          <w:color w:val="000000"/>
        </w:rPr>
        <w:t>COMMITTEE MEMBERS: Jim Egenrieder, Lida Anestidou, Luann Moy, Dave Remick, Diane Murphy,  Fer</w:t>
      </w:r>
      <w:r>
        <w:rPr>
          <w:rFonts w:ascii="Calibri" w:eastAsia="Calibri" w:hAnsi="Calibri" w:cs="Calibri"/>
        </w:rPr>
        <w:t xml:space="preserve">nando Torres, Nelson Aguilar, Stacy Butler, Anna Lapidus, </w:t>
      </w:r>
      <w:proofErr w:type="spellStart"/>
      <w:r>
        <w:rPr>
          <w:rFonts w:ascii="Calibri" w:eastAsia="Calibri" w:hAnsi="Calibri" w:cs="Calibri"/>
        </w:rPr>
        <w:t>Meryem</w:t>
      </w:r>
      <w:proofErr w:type="spellEnd"/>
      <w:r>
        <w:rPr>
          <w:rFonts w:ascii="Calibri" w:eastAsia="Calibri" w:hAnsi="Calibri" w:cs="Calibri"/>
        </w:rPr>
        <w:t xml:space="preserve"> </w:t>
      </w:r>
      <w:proofErr w:type="spellStart"/>
      <w:r>
        <w:rPr>
          <w:rFonts w:ascii="Calibri" w:eastAsia="Calibri" w:hAnsi="Calibri" w:cs="Calibri"/>
        </w:rPr>
        <w:t>Khadrouni</w:t>
      </w:r>
      <w:proofErr w:type="spellEnd"/>
      <w:r>
        <w:rPr>
          <w:rFonts w:ascii="Calibri" w:eastAsia="Calibri" w:hAnsi="Calibri" w:cs="Calibri"/>
        </w:rPr>
        <w:t>, Marcus Henderson</w:t>
      </w:r>
    </w:p>
    <w:p w14:paraId="0000000A" w14:textId="77777777" w:rsidR="0013107F" w:rsidRDefault="00750C2A">
      <w:pPr>
        <w:widowControl w:val="0"/>
        <w:pBdr>
          <w:top w:val="nil"/>
          <w:left w:val="nil"/>
          <w:bottom w:val="nil"/>
          <w:right w:val="nil"/>
          <w:between w:val="nil"/>
        </w:pBdr>
        <w:spacing w:before="11" w:line="243" w:lineRule="auto"/>
        <w:ind w:left="14" w:right="850" w:firstLine="2"/>
        <w:rPr>
          <w:rFonts w:ascii="Calibri" w:eastAsia="Calibri" w:hAnsi="Calibri" w:cs="Calibri"/>
          <w:color w:val="000000"/>
        </w:rPr>
      </w:pPr>
      <w:r>
        <w:rPr>
          <w:rFonts w:ascii="Calibri" w:eastAsia="Calibri" w:hAnsi="Calibri" w:cs="Calibri"/>
          <w:color w:val="000000"/>
        </w:rPr>
        <w:t xml:space="preserve">STAFF LIAISON: Christopher Martini </w:t>
      </w:r>
    </w:p>
    <w:p w14:paraId="0000000B" w14:textId="77777777" w:rsidR="0013107F" w:rsidRDefault="00750C2A">
      <w:pPr>
        <w:widowControl w:val="0"/>
        <w:pBdr>
          <w:top w:val="nil"/>
          <w:left w:val="nil"/>
          <w:bottom w:val="nil"/>
          <w:right w:val="nil"/>
          <w:between w:val="nil"/>
        </w:pBdr>
        <w:spacing w:before="574" w:line="240" w:lineRule="auto"/>
        <w:ind w:left="21"/>
        <w:rPr>
          <w:rFonts w:ascii="Calibri" w:eastAsia="Calibri" w:hAnsi="Calibri" w:cs="Calibri"/>
          <w:b/>
          <w:color w:val="000000"/>
        </w:rPr>
      </w:pPr>
      <w:r>
        <w:rPr>
          <w:rFonts w:ascii="Calibri" w:eastAsia="Calibri" w:hAnsi="Calibri" w:cs="Calibri"/>
          <w:b/>
          <w:color w:val="000000"/>
        </w:rPr>
        <w:t xml:space="preserve">Background (or Introduction)  </w:t>
      </w:r>
    </w:p>
    <w:p w14:paraId="0000000C" w14:textId="77777777" w:rsidR="0013107F" w:rsidRDefault="00750C2A">
      <w:pPr>
        <w:widowControl w:val="0"/>
        <w:pBdr>
          <w:top w:val="nil"/>
          <w:left w:val="nil"/>
          <w:bottom w:val="nil"/>
          <w:right w:val="nil"/>
          <w:between w:val="nil"/>
        </w:pBdr>
        <w:spacing w:before="251" w:line="243" w:lineRule="auto"/>
        <w:ind w:left="16" w:right="378"/>
        <w:rPr>
          <w:rFonts w:ascii="Calibri" w:eastAsia="Calibri" w:hAnsi="Calibri" w:cs="Calibri"/>
          <w:color w:val="000000"/>
        </w:rPr>
      </w:pPr>
      <w:r>
        <w:rPr>
          <w:rFonts w:ascii="Calibri" w:eastAsia="Calibri" w:hAnsi="Calibri" w:cs="Calibri"/>
          <w:color w:val="000000"/>
        </w:rPr>
        <w:t xml:space="preserve">Career and Technical Education (CTE) is an essential part of a student’s K-12 well rounded educational  experience. CTE positions all learners, including historically underserved learners, to access high quality  programs that prepare them to enter high wage and in demand fields. The CTE program prepares students for career </w:t>
      </w:r>
      <w:r>
        <w:rPr>
          <w:rFonts w:ascii="Calibri" w:eastAsia="Calibri" w:hAnsi="Calibri" w:cs="Calibri"/>
        </w:rPr>
        <w:t xml:space="preserve">exploration and for </w:t>
      </w:r>
      <w:r>
        <w:rPr>
          <w:rFonts w:ascii="Calibri" w:eastAsia="Calibri" w:hAnsi="Calibri" w:cs="Calibri"/>
          <w:color w:val="000000"/>
        </w:rPr>
        <w:t>college and other post-secondary education and training. To note, APS has  experienced year on year growth in CTE enrollment and continues to support growth in the number of  completers (who have graduated with a CTE concentration). (See</w:t>
      </w:r>
      <w:hyperlink r:id="rId8">
        <w:r>
          <w:rPr>
            <w:rFonts w:ascii="Calibri" w:eastAsia="Calibri" w:hAnsi="Calibri" w:cs="Calibri"/>
            <w:color w:val="1155CC"/>
            <w:u w:val="single"/>
          </w:rPr>
          <w:t xml:space="preserve"> </w:t>
        </w:r>
      </w:hyperlink>
      <w:hyperlink r:id="rId9">
        <w:r>
          <w:rPr>
            <w:rFonts w:ascii="Calibri" w:eastAsia="Calibri" w:hAnsi="Calibri" w:cs="Calibri"/>
            <w:color w:val="1155CC"/>
            <w:u w:val="single"/>
          </w:rPr>
          <w:t>CTAE Monitoring Report</w:t>
        </w:r>
      </w:hyperlink>
      <w:r>
        <w:rPr>
          <w:rFonts w:ascii="Calibri" w:eastAsia="Calibri" w:hAnsi="Calibri" w:cs="Calibri"/>
          <w:color w:val="000000"/>
        </w:rPr>
        <w:t xml:space="preserve">.) </w:t>
      </w:r>
    </w:p>
    <w:p w14:paraId="0000000D" w14:textId="77777777" w:rsidR="0013107F" w:rsidRDefault="00750C2A">
      <w:pPr>
        <w:widowControl w:val="0"/>
        <w:pBdr>
          <w:top w:val="nil"/>
          <w:left w:val="nil"/>
          <w:bottom w:val="nil"/>
          <w:right w:val="nil"/>
          <w:between w:val="nil"/>
        </w:pBdr>
        <w:spacing w:before="248" w:line="243" w:lineRule="auto"/>
        <w:ind w:left="14" w:firstLine="2"/>
        <w:rPr>
          <w:rFonts w:ascii="Calibri" w:eastAsia="Calibri" w:hAnsi="Calibri" w:cs="Calibri"/>
          <w:color w:val="000000"/>
        </w:rPr>
      </w:pPr>
      <w:r>
        <w:rPr>
          <w:rFonts w:ascii="Calibri" w:eastAsia="Calibri" w:hAnsi="Calibri" w:cs="Calibri"/>
          <w:color w:val="000000"/>
        </w:rPr>
        <w:t xml:space="preserve">Quality CTE curriculum develops students’ ability to become true problem solvers and innovative thinkers.  Students that participate in CTE apply what they learn to real work and the industry-ready credentials  students earn in their classes provide access to high-wage and high-demand job skills, validating a student’s  knowledge and skills attainment in pathways to high demand careers.  </w:t>
      </w:r>
    </w:p>
    <w:p w14:paraId="0000000E" w14:textId="77777777" w:rsidR="0013107F" w:rsidRDefault="00750C2A">
      <w:pPr>
        <w:widowControl w:val="0"/>
        <w:pBdr>
          <w:top w:val="nil"/>
          <w:left w:val="nil"/>
          <w:bottom w:val="nil"/>
          <w:right w:val="nil"/>
          <w:between w:val="nil"/>
        </w:pBdr>
        <w:spacing w:before="248" w:line="243" w:lineRule="auto"/>
        <w:ind w:left="14" w:firstLine="2"/>
        <w:rPr>
          <w:rFonts w:ascii="Calibri" w:eastAsia="Calibri" w:hAnsi="Calibri" w:cs="Calibri"/>
          <w:b/>
          <w:u w:val="single"/>
        </w:rPr>
      </w:pPr>
      <w:r>
        <w:rPr>
          <w:rFonts w:ascii="Calibri" w:eastAsia="Calibri" w:hAnsi="Calibri" w:cs="Calibri"/>
          <w:b/>
          <w:u w:val="single"/>
        </w:rPr>
        <w:t>Graduation Requirements</w:t>
      </w:r>
    </w:p>
    <w:p w14:paraId="0000000F" w14:textId="77777777" w:rsidR="0013107F" w:rsidRDefault="00750C2A">
      <w:pPr>
        <w:widowControl w:val="0"/>
        <w:shd w:val="clear" w:color="auto" w:fill="FFFFFF"/>
        <w:spacing w:line="243" w:lineRule="auto"/>
        <w:rPr>
          <w:rFonts w:ascii="Calibri" w:eastAsia="Calibri" w:hAnsi="Calibri" w:cs="Calibri"/>
        </w:rPr>
      </w:pPr>
      <w:r>
        <w:rPr>
          <w:rFonts w:ascii="Calibri" w:eastAsia="Calibri" w:hAnsi="Calibri" w:cs="Calibri"/>
        </w:rPr>
        <w:t xml:space="preserve">CTE courses can meet several of the course credit requirements prescribed in the Standards of Accreditation towards a standard or advanced studies diploma: </w:t>
      </w:r>
    </w:p>
    <w:p w14:paraId="00000010" w14:textId="77777777" w:rsidR="0013107F" w:rsidRDefault="00750C2A">
      <w:pPr>
        <w:widowControl w:val="0"/>
        <w:shd w:val="clear" w:color="auto" w:fill="FFFFFF"/>
        <w:spacing w:line="243" w:lineRule="auto"/>
        <w:ind w:left="720"/>
        <w:rPr>
          <w:rFonts w:ascii="Calibri" w:eastAsia="Calibri" w:hAnsi="Calibri" w:cs="Calibri"/>
        </w:rPr>
      </w:pPr>
      <w:r>
        <w:rPr>
          <w:rFonts w:ascii="Calibri" w:eastAsia="Calibri" w:hAnsi="Calibri" w:cs="Calibri"/>
        </w:rPr>
        <w:t>Standard Diploma:</w:t>
      </w:r>
    </w:p>
    <w:p w14:paraId="00000011" w14:textId="77777777" w:rsidR="0013107F" w:rsidRDefault="00750C2A">
      <w:pPr>
        <w:widowControl w:val="0"/>
        <w:numPr>
          <w:ilvl w:val="0"/>
          <w:numId w:val="2"/>
        </w:numPr>
        <w:shd w:val="clear" w:color="auto" w:fill="FFFFFF"/>
        <w:spacing w:line="243" w:lineRule="auto"/>
        <w:rPr>
          <w:rFonts w:ascii="Calibri" w:eastAsia="Calibri" w:hAnsi="Calibri" w:cs="Calibri"/>
        </w:rPr>
      </w:pPr>
      <w:r>
        <w:rPr>
          <w:rFonts w:ascii="Calibri" w:eastAsia="Calibri" w:hAnsi="Calibri" w:cs="Calibri"/>
        </w:rPr>
        <w:t>Fine or practical arts requirement - 1 credit required</w:t>
      </w:r>
    </w:p>
    <w:p w14:paraId="00000012" w14:textId="77777777" w:rsidR="0013107F" w:rsidRDefault="00750C2A">
      <w:pPr>
        <w:widowControl w:val="0"/>
        <w:numPr>
          <w:ilvl w:val="0"/>
          <w:numId w:val="2"/>
        </w:numPr>
        <w:shd w:val="clear" w:color="auto" w:fill="FFFFFF"/>
        <w:spacing w:line="243" w:lineRule="auto"/>
        <w:rPr>
          <w:rFonts w:ascii="Calibri" w:eastAsia="Calibri" w:hAnsi="Calibri" w:cs="Calibri"/>
        </w:rPr>
      </w:pPr>
      <w:r>
        <w:rPr>
          <w:rFonts w:ascii="Calibri" w:eastAsia="Calibri" w:hAnsi="Calibri" w:cs="Calibri"/>
        </w:rPr>
        <w:t>Fine or practical arts or World Language requirement - 1 credit required</w:t>
      </w:r>
    </w:p>
    <w:p w14:paraId="00000013" w14:textId="77777777" w:rsidR="0013107F" w:rsidRDefault="00750C2A">
      <w:pPr>
        <w:widowControl w:val="0"/>
        <w:numPr>
          <w:ilvl w:val="0"/>
          <w:numId w:val="2"/>
        </w:numPr>
        <w:shd w:val="clear" w:color="auto" w:fill="FFFFFF"/>
        <w:spacing w:line="243" w:lineRule="auto"/>
        <w:rPr>
          <w:rFonts w:ascii="Calibri" w:eastAsia="Calibri" w:hAnsi="Calibri" w:cs="Calibri"/>
        </w:rPr>
      </w:pPr>
      <w:r>
        <w:rPr>
          <w:rFonts w:ascii="Calibri" w:eastAsia="Calibri" w:hAnsi="Calibri" w:cs="Calibri"/>
        </w:rPr>
        <w:t>Electives (2 of which must be sequential) - 4 credits required</w:t>
      </w:r>
    </w:p>
    <w:p w14:paraId="00000014" w14:textId="77777777" w:rsidR="0013107F" w:rsidRDefault="00750C2A">
      <w:pPr>
        <w:widowControl w:val="0"/>
        <w:shd w:val="clear" w:color="auto" w:fill="FFFFFF"/>
        <w:spacing w:line="243" w:lineRule="auto"/>
        <w:ind w:left="720"/>
        <w:rPr>
          <w:rFonts w:ascii="Calibri" w:eastAsia="Calibri" w:hAnsi="Calibri" w:cs="Calibri"/>
        </w:rPr>
      </w:pPr>
      <w:r>
        <w:rPr>
          <w:rFonts w:ascii="Calibri" w:eastAsia="Calibri" w:hAnsi="Calibri" w:cs="Calibri"/>
        </w:rPr>
        <w:t>Advanced Diploma:</w:t>
      </w:r>
    </w:p>
    <w:p w14:paraId="00000015" w14:textId="77777777" w:rsidR="0013107F" w:rsidRDefault="00750C2A">
      <w:pPr>
        <w:widowControl w:val="0"/>
        <w:numPr>
          <w:ilvl w:val="0"/>
          <w:numId w:val="3"/>
        </w:numPr>
        <w:shd w:val="clear" w:color="auto" w:fill="FFFFFF"/>
        <w:spacing w:line="243" w:lineRule="auto"/>
        <w:rPr>
          <w:rFonts w:ascii="Calibri" w:eastAsia="Calibri" w:hAnsi="Calibri" w:cs="Calibri"/>
        </w:rPr>
      </w:pPr>
      <w:r>
        <w:rPr>
          <w:rFonts w:ascii="Calibri" w:eastAsia="Calibri" w:hAnsi="Calibri" w:cs="Calibri"/>
        </w:rPr>
        <w:t>Fine or practical arts requirement - 1 credit required</w:t>
      </w:r>
    </w:p>
    <w:p w14:paraId="00000016" w14:textId="77777777" w:rsidR="0013107F" w:rsidRDefault="00750C2A">
      <w:pPr>
        <w:widowControl w:val="0"/>
        <w:numPr>
          <w:ilvl w:val="0"/>
          <w:numId w:val="3"/>
        </w:numPr>
        <w:shd w:val="clear" w:color="auto" w:fill="FFFFFF"/>
        <w:spacing w:line="243" w:lineRule="auto"/>
        <w:rPr>
          <w:rFonts w:ascii="Calibri" w:eastAsia="Calibri" w:hAnsi="Calibri" w:cs="Calibri"/>
        </w:rPr>
      </w:pPr>
      <w:r>
        <w:rPr>
          <w:rFonts w:ascii="Calibri" w:eastAsia="Calibri" w:hAnsi="Calibri" w:cs="Calibri"/>
        </w:rPr>
        <w:t>Electives (2 of which must be sequential) - 3 credits required</w:t>
      </w:r>
    </w:p>
    <w:p w14:paraId="00000017" w14:textId="77777777" w:rsidR="0013107F" w:rsidRDefault="00750C2A">
      <w:pPr>
        <w:widowControl w:val="0"/>
        <w:pBdr>
          <w:top w:val="nil"/>
          <w:left w:val="nil"/>
          <w:bottom w:val="nil"/>
          <w:right w:val="nil"/>
          <w:between w:val="nil"/>
        </w:pBdr>
        <w:spacing w:before="248" w:line="243" w:lineRule="auto"/>
        <w:rPr>
          <w:rFonts w:ascii="Calibri" w:eastAsia="Calibri" w:hAnsi="Calibri" w:cs="Calibri"/>
          <w:b/>
          <w:u w:val="single"/>
        </w:rPr>
      </w:pPr>
      <w:r>
        <w:rPr>
          <w:rFonts w:ascii="Calibri" w:eastAsia="Calibri" w:hAnsi="Calibri" w:cs="Calibri"/>
          <w:b/>
          <w:u w:val="single"/>
        </w:rPr>
        <w:t>College, Career, Civics Readiness Index (CCCRI)</w:t>
      </w:r>
    </w:p>
    <w:p w14:paraId="00000018" w14:textId="77777777" w:rsidR="0013107F" w:rsidRDefault="00750C2A">
      <w:pPr>
        <w:widowControl w:val="0"/>
        <w:shd w:val="clear" w:color="auto" w:fill="FFFFFF"/>
        <w:spacing w:line="243" w:lineRule="auto"/>
        <w:rPr>
          <w:rFonts w:ascii="Calibri" w:eastAsia="Calibri" w:hAnsi="Calibri" w:cs="Calibri"/>
        </w:rPr>
      </w:pPr>
      <w:r>
        <w:rPr>
          <w:rFonts w:ascii="Calibri" w:eastAsia="Calibri" w:hAnsi="Calibri" w:cs="Calibri"/>
        </w:rPr>
        <w:t xml:space="preserve">Beginning in the 2023-2024 school year, each graduating senior must meet VDOE graduation requirements to earn a diploma. The CCCRI looks at the graduating cohort and determines accreditation of the school based on the number of individual students meeting the following criteria: </w:t>
      </w:r>
    </w:p>
    <w:p w14:paraId="00000019" w14:textId="77777777" w:rsidR="0013107F" w:rsidRDefault="00750C2A">
      <w:pPr>
        <w:widowControl w:val="0"/>
        <w:numPr>
          <w:ilvl w:val="0"/>
          <w:numId w:val="1"/>
        </w:numPr>
        <w:spacing w:line="243" w:lineRule="auto"/>
        <w:ind w:left="1080"/>
        <w:rPr>
          <w:rFonts w:ascii="Calibri" w:eastAsia="Calibri" w:hAnsi="Calibri" w:cs="Calibri"/>
        </w:rPr>
      </w:pPr>
      <w:r>
        <w:rPr>
          <w:rFonts w:ascii="Calibri" w:eastAsia="Calibri" w:hAnsi="Calibri" w:cs="Calibri"/>
        </w:rPr>
        <w:t xml:space="preserve">Completed an Advanced Placement (AP), International Baccalaureate (IB), or Dual Enrollment (DE) course (College) </w:t>
      </w:r>
    </w:p>
    <w:p w14:paraId="0000001A" w14:textId="77777777" w:rsidR="0013107F" w:rsidRDefault="00750C2A">
      <w:pPr>
        <w:widowControl w:val="0"/>
        <w:numPr>
          <w:ilvl w:val="0"/>
          <w:numId w:val="1"/>
        </w:numPr>
        <w:spacing w:line="243" w:lineRule="auto"/>
        <w:ind w:left="1080"/>
        <w:rPr>
          <w:rFonts w:ascii="Calibri" w:eastAsia="Calibri" w:hAnsi="Calibri" w:cs="Calibri"/>
        </w:rPr>
      </w:pPr>
      <w:r>
        <w:rPr>
          <w:rFonts w:ascii="Calibri" w:eastAsia="Calibri" w:hAnsi="Calibri" w:cs="Calibri"/>
        </w:rPr>
        <w:t xml:space="preserve">Completed a CTE completer sequence AND earned an industry credential (Career) </w:t>
      </w:r>
    </w:p>
    <w:p w14:paraId="0000001B" w14:textId="77777777" w:rsidR="0013107F" w:rsidRDefault="00750C2A">
      <w:pPr>
        <w:widowControl w:val="0"/>
        <w:numPr>
          <w:ilvl w:val="0"/>
          <w:numId w:val="1"/>
        </w:numPr>
        <w:spacing w:line="243" w:lineRule="auto"/>
        <w:ind w:left="1080"/>
        <w:rPr>
          <w:rFonts w:ascii="Calibri" w:eastAsia="Calibri" w:hAnsi="Calibri" w:cs="Calibri"/>
        </w:rPr>
      </w:pPr>
      <w:r>
        <w:rPr>
          <w:rFonts w:ascii="Calibri" w:eastAsia="Calibri" w:hAnsi="Calibri" w:cs="Calibri"/>
        </w:rPr>
        <w:t xml:space="preserve">Completed a high-quality work-based learning (HQWBL) experience as defined by the VDOE </w:t>
      </w:r>
      <w:r>
        <w:rPr>
          <w:rFonts w:ascii="Calibri" w:eastAsia="Calibri" w:hAnsi="Calibri" w:cs="Calibri"/>
        </w:rPr>
        <w:lastRenderedPageBreak/>
        <w:t xml:space="preserve">(Career)*  </w:t>
      </w:r>
    </w:p>
    <w:p w14:paraId="0000001C" w14:textId="77777777" w:rsidR="0013107F" w:rsidRDefault="00750C2A">
      <w:pPr>
        <w:widowControl w:val="0"/>
        <w:numPr>
          <w:ilvl w:val="0"/>
          <w:numId w:val="1"/>
        </w:numPr>
        <w:spacing w:line="243" w:lineRule="auto"/>
        <w:ind w:left="1080"/>
        <w:rPr>
          <w:rFonts w:ascii="Calibri" w:eastAsia="Calibri" w:hAnsi="Calibri" w:cs="Calibri"/>
        </w:rPr>
      </w:pPr>
      <w:r>
        <w:rPr>
          <w:rFonts w:ascii="Calibri" w:eastAsia="Calibri" w:hAnsi="Calibri" w:cs="Calibri"/>
        </w:rPr>
        <w:t xml:space="preserve">Completed a service-learning experience (Civic)* </w:t>
      </w:r>
    </w:p>
    <w:p w14:paraId="0000001D" w14:textId="77777777" w:rsidR="0013107F" w:rsidRDefault="0013107F">
      <w:pPr>
        <w:widowControl w:val="0"/>
        <w:shd w:val="clear" w:color="auto" w:fill="FFFFFF"/>
        <w:spacing w:line="243" w:lineRule="auto"/>
        <w:rPr>
          <w:rFonts w:ascii="Calibri" w:eastAsia="Calibri" w:hAnsi="Calibri" w:cs="Calibri"/>
        </w:rPr>
      </w:pPr>
    </w:p>
    <w:p w14:paraId="0000001E" w14:textId="77777777" w:rsidR="0013107F" w:rsidRDefault="00750C2A">
      <w:pPr>
        <w:widowControl w:val="0"/>
        <w:shd w:val="clear" w:color="auto" w:fill="FFFFFF"/>
        <w:spacing w:line="243" w:lineRule="auto"/>
        <w:rPr>
          <w:rFonts w:ascii="Calibri" w:eastAsia="Calibri" w:hAnsi="Calibri" w:cs="Calibri"/>
        </w:rPr>
      </w:pPr>
      <w:r>
        <w:rPr>
          <w:rFonts w:ascii="Calibri" w:eastAsia="Calibri" w:hAnsi="Calibri" w:cs="Calibri"/>
        </w:rPr>
        <w:t xml:space="preserve">*Note that work-based learning and service-learning experiences must be part of a course in order to count towards a student.   </w:t>
      </w:r>
    </w:p>
    <w:p w14:paraId="0000001F" w14:textId="77777777" w:rsidR="0013107F" w:rsidRDefault="00750C2A">
      <w:pPr>
        <w:widowControl w:val="0"/>
        <w:pBdr>
          <w:top w:val="nil"/>
          <w:left w:val="nil"/>
          <w:bottom w:val="nil"/>
          <w:right w:val="nil"/>
          <w:between w:val="nil"/>
        </w:pBdr>
        <w:spacing w:before="276" w:line="243" w:lineRule="auto"/>
        <w:ind w:right="183"/>
        <w:rPr>
          <w:rFonts w:ascii="Calibri" w:eastAsia="Calibri" w:hAnsi="Calibri" w:cs="Calibri"/>
        </w:rPr>
      </w:pPr>
      <w:r>
        <w:rPr>
          <w:rFonts w:ascii="Calibri" w:eastAsia="Calibri" w:hAnsi="Calibri" w:cs="Calibri"/>
        </w:rPr>
        <w:t>T</w:t>
      </w:r>
      <w:r>
        <w:rPr>
          <w:rFonts w:ascii="Calibri" w:eastAsia="Calibri" w:hAnsi="Calibri" w:cs="Calibri"/>
          <w:color w:val="000000"/>
        </w:rPr>
        <w:t xml:space="preserve">he Advisory Committee’s work this year is on </w:t>
      </w:r>
      <w:r>
        <w:rPr>
          <w:rFonts w:ascii="Calibri" w:eastAsia="Calibri" w:hAnsi="Calibri" w:cs="Calibri"/>
          <w:b/>
          <w:i/>
          <w:color w:val="000000"/>
        </w:rPr>
        <w:t>Resources and Staffing</w:t>
      </w:r>
      <w:r>
        <w:rPr>
          <w:rFonts w:ascii="Calibri" w:eastAsia="Calibri" w:hAnsi="Calibri" w:cs="Calibri"/>
          <w:color w:val="000000"/>
        </w:rPr>
        <w:t xml:space="preserve">. Aligned with the  School Boards’ priority of a high-quality workforce, the </w:t>
      </w:r>
      <w:r>
        <w:rPr>
          <w:rFonts w:ascii="Calibri" w:eastAsia="Calibri" w:hAnsi="Calibri" w:cs="Calibri"/>
          <w:b/>
          <w:color w:val="000000"/>
        </w:rPr>
        <w:t xml:space="preserve">CTE Teacher Specialist </w:t>
      </w:r>
      <w:r>
        <w:rPr>
          <w:rFonts w:ascii="Calibri" w:eastAsia="Calibri" w:hAnsi="Calibri" w:cs="Calibri"/>
          <w:color w:val="000000"/>
        </w:rPr>
        <w:t>– currently funded as a full-time position out of Perkins V federal funds -- supports teachers to continually develop their teaching skills  and align their teaching to reflect industry standards which result in improved student access and learning.  The CTE Teacher Specialist supports all classroom teachers and is particularly focused on supporting new  teachers. A</w:t>
      </w:r>
      <w:r>
        <w:rPr>
          <w:rFonts w:ascii="Calibri" w:eastAsia="Calibri" w:hAnsi="Calibri" w:cs="Calibri"/>
        </w:rPr>
        <w:t xml:space="preserve">n October 2019 study by the Carnegie School of Education and Leeds-Beckett University found  </w:t>
      </w:r>
      <w:r>
        <w:rPr>
          <w:rFonts w:ascii="Calibri" w:eastAsia="Calibri" w:hAnsi="Calibri" w:cs="Calibri"/>
          <w:color w:val="000000"/>
        </w:rPr>
        <w:t xml:space="preserve">CTE teachers with no CTE - specific support were retained for 2 years at a rate of 46.67% while  those with support had a retention rate of roughly 72%. In order to ensure a quality CTE program for  students, we need to retain and engage our teachers. Of note is that Perkins V prohibits indefinite funding  of staff positions. The CTE teacher Specialist position should be fully funded in order to provide ongoing  support to teachers that need to engage with current and future technological challenges of the  instructional environment. </w:t>
      </w:r>
    </w:p>
    <w:p w14:paraId="00000020" w14:textId="77777777" w:rsidR="0013107F" w:rsidRDefault="0013107F">
      <w:pPr>
        <w:widowControl w:val="0"/>
        <w:pBdr>
          <w:top w:val="nil"/>
          <w:left w:val="nil"/>
          <w:bottom w:val="nil"/>
          <w:right w:val="nil"/>
          <w:between w:val="nil"/>
        </w:pBdr>
        <w:spacing w:before="52" w:line="243" w:lineRule="auto"/>
        <w:ind w:left="8" w:right="71" w:firstLine="1"/>
        <w:rPr>
          <w:rFonts w:ascii="Calibri" w:eastAsia="Calibri" w:hAnsi="Calibri" w:cs="Calibri"/>
        </w:rPr>
      </w:pPr>
    </w:p>
    <w:p w14:paraId="00000021" w14:textId="77777777" w:rsidR="0013107F" w:rsidRDefault="00750C2A">
      <w:pPr>
        <w:widowControl w:val="0"/>
        <w:pBdr>
          <w:top w:val="nil"/>
          <w:left w:val="nil"/>
          <w:bottom w:val="nil"/>
          <w:right w:val="nil"/>
          <w:between w:val="nil"/>
        </w:pBdr>
        <w:spacing w:before="52" w:line="243" w:lineRule="auto"/>
        <w:ind w:left="8" w:right="71" w:firstLine="1"/>
        <w:rPr>
          <w:rFonts w:ascii="Calibri" w:eastAsia="Calibri" w:hAnsi="Calibri" w:cs="Calibri"/>
          <w:b/>
          <w:color w:val="000000"/>
        </w:rPr>
      </w:pPr>
      <w:r>
        <w:rPr>
          <w:rFonts w:ascii="Calibri" w:eastAsia="Calibri" w:hAnsi="Calibri" w:cs="Calibri"/>
          <w:b/>
          <w:color w:val="000000"/>
        </w:rPr>
        <w:t>Recommendation #</w:t>
      </w:r>
      <w:r>
        <w:rPr>
          <w:rFonts w:ascii="Calibri" w:eastAsia="Calibri" w:hAnsi="Calibri" w:cs="Calibri"/>
          <w:b/>
        </w:rPr>
        <w:t>1</w:t>
      </w:r>
      <w:r>
        <w:rPr>
          <w:rFonts w:ascii="Calibri" w:eastAsia="Calibri" w:hAnsi="Calibri" w:cs="Calibri"/>
          <w:b/>
          <w:color w:val="000000"/>
        </w:rPr>
        <w:t xml:space="preserve">:  </w:t>
      </w:r>
    </w:p>
    <w:p w14:paraId="00000022" w14:textId="77777777" w:rsidR="0013107F" w:rsidRDefault="00750C2A">
      <w:pPr>
        <w:widowControl w:val="0"/>
        <w:pBdr>
          <w:top w:val="nil"/>
          <w:left w:val="nil"/>
          <w:bottom w:val="nil"/>
          <w:right w:val="nil"/>
          <w:between w:val="nil"/>
        </w:pBdr>
        <w:spacing w:before="11" w:line="240" w:lineRule="auto"/>
        <w:ind w:left="21"/>
        <w:rPr>
          <w:rFonts w:ascii="Calibri" w:eastAsia="Calibri" w:hAnsi="Calibri" w:cs="Calibri"/>
          <w:b/>
          <w:color w:val="000000"/>
        </w:rPr>
      </w:pPr>
      <w:r>
        <w:rPr>
          <w:rFonts w:ascii="Calibri" w:eastAsia="Calibri" w:hAnsi="Calibri" w:cs="Calibri"/>
          <w:b/>
          <w:color w:val="000000"/>
        </w:rPr>
        <w:t xml:space="preserve">Fund a CTE Teacher Specialist position. </w:t>
      </w:r>
    </w:p>
    <w:p w14:paraId="00000023" w14:textId="77777777" w:rsidR="0013107F" w:rsidRDefault="00750C2A">
      <w:pPr>
        <w:widowControl w:val="0"/>
        <w:pBdr>
          <w:top w:val="nil"/>
          <w:left w:val="nil"/>
          <w:bottom w:val="nil"/>
          <w:right w:val="nil"/>
          <w:between w:val="nil"/>
        </w:pBdr>
        <w:spacing w:before="275" w:line="243" w:lineRule="auto"/>
        <w:ind w:left="10" w:right="257" w:firstLine="12"/>
        <w:rPr>
          <w:rFonts w:ascii="Calibri" w:eastAsia="Calibri" w:hAnsi="Calibri" w:cs="Calibri"/>
          <w:color w:val="000000"/>
        </w:rPr>
      </w:pPr>
      <w:r>
        <w:rPr>
          <w:rFonts w:ascii="Calibri" w:eastAsia="Calibri" w:hAnsi="Calibri" w:cs="Calibri"/>
          <w:b/>
          <w:i/>
          <w:color w:val="000000"/>
        </w:rPr>
        <w:t xml:space="preserve">The challenge: </w:t>
      </w:r>
      <w:r>
        <w:rPr>
          <w:rFonts w:ascii="Calibri" w:eastAsia="Calibri" w:hAnsi="Calibri" w:cs="Calibri"/>
          <w:color w:val="000000"/>
        </w:rPr>
        <w:t xml:space="preserve">Twenty </w:t>
      </w:r>
      <w:r>
        <w:rPr>
          <w:rFonts w:ascii="Calibri" w:eastAsia="Calibri" w:hAnsi="Calibri" w:cs="Calibri"/>
        </w:rPr>
        <w:t>five</w:t>
      </w:r>
      <w:r>
        <w:rPr>
          <w:rFonts w:ascii="Calibri" w:eastAsia="Calibri" w:hAnsi="Calibri" w:cs="Calibri"/>
          <w:color w:val="000000"/>
        </w:rPr>
        <w:t xml:space="preserve"> percent of CTE teachers have joined APS in the past two years and many  come directly from industry with minimal teaching experience. These new teachers are coming directly  from industry or education institutions with content expertise but with no formal teaching experience or  capability in instructional technologies including learning platforms.  </w:t>
      </w:r>
    </w:p>
    <w:p w14:paraId="00000024" w14:textId="77777777" w:rsidR="0013107F" w:rsidRDefault="00750C2A">
      <w:pPr>
        <w:widowControl w:val="0"/>
        <w:pBdr>
          <w:top w:val="nil"/>
          <w:left w:val="nil"/>
          <w:bottom w:val="nil"/>
          <w:right w:val="nil"/>
          <w:between w:val="nil"/>
        </w:pBdr>
        <w:spacing w:before="276" w:line="243" w:lineRule="auto"/>
        <w:ind w:left="8" w:right="158" w:hanging="2"/>
        <w:rPr>
          <w:rFonts w:ascii="Calibri" w:eastAsia="Calibri" w:hAnsi="Calibri" w:cs="Calibri"/>
          <w:color w:val="000000"/>
        </w:rPr>
      </w:pPr>
      <w:r>
        <w:rPr>
          <w:rFonts w:ascii="Calibri" w:eastAsia="Calibri" w:hAnsi="Calibri" w:cs="Calibri"/>
          <w:color w:val="000000"/>
        </w:rPr>
        <w:t xml:space="preserve">The CTE Teacher Specialist monitors teaching and learning to assess effectiveness in education and child  development, trains and coaches teachers, and ensures compliance with Federal and State guidelines and  Arlington School Board goals and performance objectives. A fully funded, full-time CTE Teacher Specialist  position contributes to a high-quality workforce by supporting teachers and improving student learning.  Key responsibilities include analyzing lesson design, instructional delivery, teaching methods and student  performance data.  </w:t>
      </w:r>
    </w:p>
    <w:p w14:paraId="00000025" w14:textId="77777777" w:rsidR="0013107F" w:rsidRDefault="00750C2A">
      <w:pPr>
        <w:widowControl w:val="0"/>
        <w:pBdr>
          <w:top w:val="nil"/>
          <w:left w:val="nil"/>
          <w:bottom w:val="nil"/>
          <w:right w:val="nil"/>
          <w:between w:val="nil"/>
        </w:pBdr>
        <w:spacing w:before="276" w:line="242" w:lineRule="auto"/>
        <w:ind w:left="5" w:right="147" w:firstLine="19"/>
        <w:rPr>
          <w:rFonts w:ascii="Calibri" w:eastAsia="Calibri" w:hAnsi="Calibri" w:cs="Calibri"/>
          <w:color w:val="000000"/>
        </w:rPr>
      </w:pPr>
      <w:r>
        <w:rPr>
          <w:rFonts w:ascii="Calibri" w:eastAsia="Calibri" w:hAnsi="Calibri" w:cs="Calibri"/>
          <w:color w:val="000000"/>
        </w:rPr>
        <w:t xml:space="preserve">Building pedagogical skills of CTE teachers supports and enhances instruction quality. Highly engaged and  technologically adept teachers create opportunities to deliver meaningful and differentiated instruction  that is responsive to the needs of all students but especially those historically underserved (English  language learners, students with limited access to technology and students with special learning needs.)  This ongoing professional development and coaching is prioritized by APS and the Superintendent and  aligns with the Engaged Workforce strategic plan goal. </w:t>
      </w:r>
      <w:r>
        <w:rPr>
          <w:rFonts w:ascii="Calibri" w:eastAsia="Calibri" w:hAnsi="Calibri" w:cs="Calibri"/>
          <w:i/>
          <w:color w:val="000000"/>
        </w:rPr>
        <w:t xml:space="preserve">"Schools that have mentoring programs have a  strong effect on novice teachers, primarily in the areas of teacher retention, classroom instructional  practices, and student achievement" </w:t>
      </w:r>
      <w:r>
        <w:rPr>
          <w:rFonts w:ascii="Calibri" w:eastAsia="Calibri" w:hAnsi="Calibri" w:cs="Calibri"/>
          <w:color w:val="000000"/>
        </w:rPr>
        <w:t xml:space="preserve">(Ingersoll &amp; Strong, 2011).  </w:t>
      </w:r>
    </w:p>
    <w:p w14:paraId="00000026" w14:textId="77777777" w:rsidR="0013107F" w:rsidRDefault="00750C2A">
      <w:pPr>
        <w:widowControl w:val="0"/>
        <w:pBdr>
          <w:top w:val="nil"/>
          <w:left w:val="nil"/>
          <w:bottom w:val="nil"/>
          <w:right w:val="nil"/>
          <w:between w:val="nil"/>
        </w:pBdr>
        <w:spacing w:before="277" w:line="240" w:lineRule="auto"/>
        <w:ind w:left="21"/>
        <w:rPr>
          <w:rFonts w:ascii="Calibri" w:eastAsia="Calibri" w:hAnsi="Calibri" w:cs="Calibri"/>
          <w:color w:val="000000"/>
        </w:rPr>
      </w:pPr>
      <w:r>
        <w:rPr>
          <w:rFonts w:ascii="Calibri" w:eastAsia="Calibri" w:hAnsi="Calibri" w:cs="Calibri"/>
          <w:b/>
          <w:color w:val="000000"/>
        </w:rPr>
        <w:t xml:space="preserve">Budgetary implications: </w:t>
      </w:r>
      <w:r>
        <w:rPr>
          <w:rFonts w:ascii="Calibri" w:eastAsia="Calibri" w:hAnsi="Calibri" w:cs="Calibri"/>
          <w:color w:val="000000"/>
        </w:rPr>
        <w:t>A full time (T-Scale) 10 month position with benefits - $</w:t>
      </w:r>
      <w:r>
        <w:rPr>
          <w:rFonts w:ascii="Calibri" w:eastAsia="Calibri" w:hAnsi="Calibri" w:cs="Calibri"/>
        </w:rPr>
        <w:t>104,542.44</w:t>
      </w:r>
      <w:r>
        <w:rPr>
          <w:rFonts w:ascii="Calibri" w:eastAsia="Calibri" w:hAnsi="Calibri" w:cs="Calibri"/>
          <w:color w:val="000000"/>
        </w:rPr>
        <w:t xml:space="preserve"> </w:t>
      </w:r>
    </w:p>
    <w:p w14:paraId="00000027" w14:textId="77777777" w:rsidR="0013107F" w:rsidRDefault="00750C2A">
      <w:pPr>
        <w:widowControl w:val="0"/>
        <w:pBdr>
          <w:top w:val="nil"/>
          <w:left w:val="nil"/>
          <w:bottom w:val="nil"/>
          <w:right w:val="nil"/>
          <w:between w:val="nil"/>
        </w:pBdr>
        <w:spacing w:before="279" w:line="240" w:lineRule="auto"/>
        <w:ind w:left="13"/>
        <w:rPr>
          <w:rFonts w:ascii="Calibri" w:eastAsia="Calibri" w:hAnsi="Calibri" w:cs="Calibri"/>
          <w:b/>
          <w:color w:val="000000"/>
        </w:rPr>
      </w:pPr>
      <w:r>
        <w:rPr>
          <w:rFonts w:ascii="Calibri" w:eastAsia="Calibri" w:hAnsi="Calibri" w:cs="Calibri"/>
          <w:b/>
          <w:color w:val="000000"/>
        </w:rPr>
        <w:t xml:space="preserve">Strategic Plan Alignment: </w:t>
      </w:r>
    </w:p>
    <w:p w14:paraId="00000028" w14:textId="77777777" w:rsidR="0013107F" w:rsidRDefault="00750C2A">
      <w:pPr>
        <w:widowControl w:val="0"/>
        <w:pBdr>
          <w:top w:val="nil"/>
          <w:left w:val="nil"/>
          <w:bottom w:val="nil"/>
          <w:right w:val="nil"/>
          <w:between w:val="nil"/>
        </w:pBdr>
        <w:spacing w:before="11" w:line="243" w:lineRule="auto"/>
        <w:ind w:left="385" w:right="36"/>
        <w:rPr>
          <w:rFonts w:ascii="Calibri" w:eastAsia="Calibri" w:hAnsi="Calibri" w:cs="Calibri"/>
          <w:color w:val="000000"/>
        </w:rPr>
      </w:pPr>
      <w:r>
        <w:rPr>
          <w:rFonts w:ascii="Calibri" w:eastAsia="Calibri" w:hAnsi="Calibri" w:cs="Calibri"/>
          <w:color w:val="000000"/>
        </w:rPr>
        <w:t xml:space="preserve">● APS Goal 3 - Engaged Workforce: Recruit, retain, and advance high-quality employees.  </w:t>
      </w:r>
    </w:p>
    <w:p w14:paraId="00000029" w14:textId="77777777" w:rsidR="0013107F" w:rsidRDefault="00750C2A">
      <w:pPr>
        <w:widowControl w:val="0"/>
        <w:pBdr>
          <w:top w:val="nil"/>
          <w:left w:val="nil"/>
          <w:bottom w:val="nil"/>
          <w:right w:val="nil"/>
          <w:between w:val="nil"/>
        </w:pBdr>
        <w:spacing w:before="11" w:line="243" w:lineRule="auto"/>
        <w:ind w:left="385" w:right="36"/>
        <w:rPr>
          <w:rFonts w:ascii="Calibri" w:eastAsia="Calibri" w:hAnsi="Calibri" w:cs="Calibri"/>
          <w:color w:val="000000"/>
        </w:rPr>
      </w:pPr>
      <w:r>
        <w:rPr>
          <w:rFonts w:ascii="Calibri" w:eastAsia="Calibri" w:hAnsi="Calibri" w:cs="Calibri"/>
          <w:color w:val="000000"/>
        </w:rPr>
        <w:t xml:space="preserve">● Provide growth and leadership opportunities for all staff by providing meaningful, high-quality, and  relevant professional learning opportunities. </w:t>
      </w:r>
    </w:p>
    <w:p w14:paraId="0000002A" w14:textId="77777777" w:rsidR="0013107F" w:rsidRDefault="00750C2A">
      <w:pPr>
        <w:widowControl w:val="0"/>
        <w:pBdr>
          <w:top w:val="nil"/>
          <w:left w:val="nil"/>
          <w:bottom w:val="nil"/>
          <w:right w:val="nil"/>
          <w:between w:val="nil"/>
        </w:pBdr>
        <w:spacing w:before="8" w:line="243" w:lineRule="auto"/>
        <w:ind w:left="385" w:right="592"/>
        <w:rPr>
          <w:rFonts w:ascii="Calibri" w:eastAsia="Calibri" w:hAnsi="Calibri" w:cs="Calibri"/>
          <w:color w:val="000000"/>
        </w:rPr>
      </w:pPr>
      <w:r>
        <w:rPr>
          <w:rFonts w:ascii="Calibri" w:eastAsia="Calibri" w:hAnsi="Calibri" w:cs="Calibri"/>
          <w:color w:val="000000"/>
        </w:rPr>
        <w:t xml:space="preserve">● APS Goal 1 - Student Success: Adapt curriculum and instruction to the needs of each student.’ ● Performance objectives: 3, 4, 11, 12, 14, and 15 </w:t>
      </w:r>
    </w:p>
    <w:p w14:paraId="0000002B" w14:textId="77777777" w:rsidR="0013107F" w:rsidRDefault="00750C2A">
      <w:pPr>
        <w:widowControl w:val="0"/>
        <w:pBdr>
          <w:top w:val="nil"/>
          <w:left w:val="nil"/>
          <w:bottom w:val="nil"/>
          <w:right w:val="nil"/>
          <w:between w:val="nil"/>
        </w:pBdr>
        <w:spacing w:before="276" w:line="240" w:lineRule="auto"/>
        <w:ind w:left="17"/>
        <w:rPr>
          <w:rFonts w:ascii="Calibri" w:eastAsia="Calibri" w:hAnsi="Calibri" w:cs="Calibri"/>
          <w:b/>
          <w:color w:val="000000"/>
        </w:rPr>
      </w:pPr>
      <w:r>
        <w:rPr>
          <w:rFonts w:ascii="Calibri" w:eastAsia="Calibri" w:hAnsi="Calibri" w:cs="Calibri"/>
          <w:color w:val="000000"/>
        </w:rPr>
        <w:lastRenderedPageBreak/>
        <w:t xml:space="preserve">Committee vote: </w:t>
      </w:r>
      <w:r>
        <w:rPr>
          <w:rFonts w:ascii="Calibri" w:eastAsia="Calibri" w:hAnsi="Calibri" w:cs="Calibri"/>
          <w:b/>
        </w:rPr>
        <w:t>11</w:t>
      </w:r>
      <w:r>
        <w:rPr>
          <w:rFonts w:ascii="Calibri" w:eastAsia="Calibri" w:hAnsi="Calibri" w:cs="Calibri"/>
          <w:b/>
          <w:color w:val="000000"/>
        </w:rPr>
        <w:t xml:space="preserve"> members in agreement </w:t>
      </w:r>
    </w:p>
    <w:p w14:paraId="0000002C" w14:textId="77777777" w:rsidR="0013107F" w:rsidRDefault="0013107F">
      <w:pPr>
        <w:widowControl w:val="0"/>
        <w:pBdr>
          <w:top w:val="nil"/>
          <w:left w:val="nil"/>
          <w:bottom w:val="nil"/>
          <w:right w:val="nil"/>
          <w:between w:val="nil"/>
        </w:pBdr>
        <w:spacing w:before="548" w:line="240" w:lineRule="auto"/>
        <w:ind w:left="10"/>
        <w:rPr>
          <w:rFonts w:ascii="Calibri" w:eastAsia="Calibri" w:hAnsi="Calibri" w:cs="Calibri"/>
        </w:rPr>
      </w:pPr>
    </w:p>
    <w:p w14:paraId="0000002D" w14:textId="77777777" w:rsidR="0013107F" w:rsidRDefault="00750C2A">
      <w:pPr>
        <w:widowControl w:val="0"/>
        <w:pBdr>
          <w:top w:val="nil"/>
          <w:left w:val="nil"/>
          <w:bottom w:val="nil"/>
          <w:right w:val="nil"/>
          <w:between w:val="nil"/>
        </w:pBdr>
        <w:spacing w:before="548" w:line="240" w:lineRule="auto"/>
        <w:ind w:left="10"/>
        <w:rPr>
          <w:rFonts w:ascii="Calibri" w:eastAsia="Calibri" w:hAnsi="Calibri" w:cs="Calibri"/>
          <w:color w:val="000000"/>
        </w:rPr>
      </w:pPr>
      <w:r>
        <w:rPr>
          <w:rFonts w:ascii="Calibri" w:eastAsia="Calibri" w:hAnsi="Calibri" w:cs="Calibri"/>
          <w:color w:val="000000"/>
        </w:rPr>
        <w:t xml:space="preserve">Appendices and References: </w:t>
      </w:r>
    </w:p>
    <w:p w14:paraId="0000002E" w14:textId="77777777" w:rsidR="0013107F" w:rsidRDefault="00750C2A">
      <w:pPr>
        <w:widowControl w:val="0"/>
        <w:pBdr>
          <w:top w:val="nil"/>
          <w:left w:val="nil"/>
          <w:bottom w:val="nil"/>
          <w:right w:val="nil"/>
          <w:between w:val="nil"/>
        </w:pBdr>
        <w:spacing w:before="548" w:line="240" w:lineRule="auto"/>
        <w:ind w:left="10"/>
        <w:rPr>
          <w:rFonts w:ascii="Calibri" w:eastAsia="Calibri" w:hAnsi="Calibri" w:cs="Calibri"/>
          <w:sz w:val="20"/>
          <w:szCs w:val="20"/>
        </w:rPr>
      </w:pPr>
      <w:r>
        <w:rPr>
          <w:rFonts w:ascii="Calibri" w:eastAsia="Calibri" w:hAnsi="Calibri" w:cs="Calibri"/>
        </w:rPr>
        <w:t xml:space="preserve">High-Quality Work-Based Learning (Virginia Department of Education Website): </w:t>
      </w:r>
      <w:hyperlink r:id="rId10">
        <w:r>
          <w:rPr>
            <w:rFonts w:ascii="Calibri" w:eastAsia="Calibri" w:hAnsi="Calibri" w:cs="Calibri"/>
            <w:color w:val="1155CC"/>
            <w:u w:val="single"/>
          </w:rPr>
          <w:t>https://www.doe.virginia.gov/teaching-learning-assessment/k-12-standards-instruction/career-and-technical-education-cte/hqwbl</w:t>
        </w:r>
      </w:hyperlink>
    </w:p>
    <w:p w14:paraId="0000002F" w14:textId="77777777" w:rsidR="0013107F" w:rsidRDefault="00750C2A">
      <w:pPr>
        <w:widowControl w:val="0"/>
        <w:pBdr>
          <w:top w:val="nil"/>
          <w:left w:val="nil"/>
          <w:bottom w:val="nil"/>
          <w:right w:val="nil"/>
          <w:between w:val="nil"/>
        </w:pBdr>
        <w:spacing w:before="548" w:line="240" w:lineRule="auto"/>
        <w:ind w:left="10"/>
        <w:rPr>
          <w:rFonts w:ascii="Calibri" w:eastAsia="Calibri" w:hAnsi="Calibri" w:cs="Calibri"/>
        </w:rPr>
      </w:pPr>
      <w:r>
        <w:rPr>
          <w:rFonts w:ascii="Calibri" w:eastAsia="Calibri" w:hAnsi="Calibri" w:cs="Calibri"/>
        </w:rPr>
        <w:t>College, Career, Civics, Readiness Index (Virginia Department of Education Website- School Accreditation):</w:t>
      </w:r>
      <w:hyperlink r:id="rId11">
        <w:r>
          <w:rPr>
            <w:rFonts w:ascii="Calibri" w:eastAsia="Calibri" w:hAnsi="Calibri" w:cs="Calibri"/>
            <w:color w:val="1155CC"/>
            <w:u w:val="single"/>
          </w:rPr>
          <w:t>https://www.doe.virginia.gov/data-policy-funding/data-reports/statistics-reports/accreditation-federal-reports/soa-school-accreditation</w:t>
        </w:r>
      </w:hyperlink>
    </w:p>
    <w:p w14:paraId="00000030" w14:textId="77777777" w:rsidR="0013107F" w:rsidRDefault="00750C2A">
      <w:pPr>
        <w:widowControl w:val="0"/>
        <w:pBdr>
          <w:top w:val="nil"/>
          <w:left w:val="nil"/>
          <w:bottom w:val="nil"/>
          <w:right w:val="nil"/>
          <w:between w:val="nil"/>
        </w:pBdr>
        <w:spacing w:before="548" w:line="240" w:lineRule="auto"/>
        <w:ind w:left="10"/>
        <w:rPr>
          <w:rFonts w:ascii="Calibri" w:eastAsia="Calibri" w:hAnsi="Calibri" w:cs="Calibri"/>
          <w:color w:val="1155CC"/>
          <w:sz w:val="24"/>
          <w:szCs w:val="24"/>
        </w:rPr>
      </w:pPr>
      <w:r>
        <w:rPr>
          <w:rFonts w:ascii="Calibri" w:eastAsia="Calibri" w:hAnsi="Calibri" w:cs="Calibri"/>
          <w:color w:val="000000"/>
          <w:sz w:val="24"/>
          <w:szCs w:val="24"/>
        </w:rPr>
        <w:t xml:space="preserve">Brookings Metro policy Program Nov. 2020: </w:t>
      </w:r>
      <w:r>
        <w:rPr>
          <w:rFonts w:ascii="Calibri" w:eastAsia="Calibri" w:hAnsi="Calibri" w:cs="Calibri"/>
          <w:color w:val="1155CC"/>
          <w:sz w:val="24"/>
          <w:szCs w:val="24"/>
          <w:u w:val="single"/>
        </w:rPr>
        <w:t>https://www.brookings.edu/wp content/uploads/2020/11/20201120_BrookingsMetro_Work-based-learning_Final_Report.pdf</w:t>
      </w:r>
      <w:r>
        <w:rPr>
          <w:rFonts w:ascii="Calibri" w:eastAsia="Calibri" w:hAnsi="Calibri" w:cs="Calibri"/>
          <w:color w:val="1155CC"/>
          <w:sz w:val="24"/>
          <w:szCs w:val="24"/>
        </w:rPr>
        <w:t xml:space="preserve"> </w:t>
      </w:r>
    </w:p>
    <w:p w14:paraId="00000031" w14:textId="77777777" w:rsidR="0013107F" w:rsidRDefault="00750C2A">
      <w:pPr>
        <w:widowControl w:val="0"/>
        <w:pBdr>
          <w:top w:val="nil"/>
          <w:left w:val="nil"/>
          <w:bottom w:val="nil"/>
          <w:right w:val="nil"/>
          <w:between w:val="nil"/>
        </w:pBdr>
        <w:spacing w:before="248" w:line="240" w:lineRule="auto"/>
        <w:ind w:left="25"/>
        <w:rPr>
          <w:rFonts w:ascii="Calibri" w:eastAsia="Calibri" w:hAnsi="Calibri" w:cs="Calibri"/>
          <w:color w:val="1155CC"/>
          <w:sz w:val="24"/>
          <w:szCs w:val="24"/>
          <w:highlight w:val="white"/>
          <w:u w:val="single"/>
        </w:rPr>
      </w:pPr>
      <w:r>
        <w:rPr>
          <w:rFonts w:ascii="Calibri" w:eastAsia="Calibri" w:hAnsi="Calibri" w:cs="Calibri"/>
          <w:color w:val="000000"/>
        </w:rPr>
        <w:t xml:space="preserve">Ingersoll &amp; Strong, 2011: </w:t>
      </w:r>
      <w:r>
        <w:rPr>
          <w:rFonts w:ascii="Calibri" w:eastAsia="Calibri" w:hAnsi="Calibri" w:cs="Calibri"/>
          <w:color w:val="1155CC"/>
          <w:sz w:val="24"/>
          <w:szCs w:val="24"/>
          <w:highlight w:val="white"/>
          <w:u w:val="single"/>
        </w:rPr>
        <w:t xml:space="preserve">Link to full report: </w:t>
      </w:r>
      <w:hyperlink r:id="rId12">
        <w:r>
          <w:rPr>
            <w:rFonts w:ascii="Calibri" w:eastAsia="Calibri" w:hAnsi="Calibri" w:cs="Calibri"/>
            <w:color w:val="1155CC"/>
            <w:sz w:val="24"/>
            <w:szCs w:val="24"/>
            <w:highlight w:val="white"/>
            <w:u w:val="single"/>
          </w:rPr>
          <w:t>https://files.eric.ed.gov/fulltext/EJ1230726.pdf</w:t>
        </w:r>
      </w:hyperlink>
    </w:p>
    <w:p w14:paraId="00000032" w14:textId="77777777" w:rsidR="0013107F" w:rsidRDefault="00750C2A">
      <w:pPr>
        <w:widowControl w:val="0"/>
        <w:pBdr>
          <w:top w:val="nil"/>
          <w:left w:val="nil"/>
          <w:bottom w:val="nil"/>
          <w:right w:val="nil"/>
          <w:between w:val="nil"/>
        </w:pBdr>
        <w:spacing w:before="248" w:line="240" w:lineRule="auto"/>
        <w:ind w:left="25"/>
        <w:rPr>
          <w:rFonts w:ascii="Calibri" w:eastAsia="Calibri" w:hAnsi="Calibri" w:cs="Calibri"/>
          <w:color w:val="1155CC"/>
          <w:sz w:val="24"/>
          <w:szCs w:val="24"/>
          <w:highlight w:val="white"/>
          <w:u w:val="single"/>
        </w:rPr>
      </w:pPr>
      <w:proofErr w:type="spellStart"/>
      <w:r>
        <w:rPr>
          <w:rFonts w:ascii="Roboto" w:eastAsia="Roboto" w:hAnsi="Roboto" w:cs="Roboto"/>
          <w:sz w:val="21"/>
          <w:szCs w:val="21"/>
          <w:highlight w:val="white"/>
        </w:rPr>
        <w:t>Pumo</w:t>
      </w:r>
      <w:proofErr w:type="spellEnd"/>
      <w:r>
        <w:rPr>
          <w:rFonts w:ascii="Roboto" w:eastAsia="Roboto" w:hAnsi="Roboto" w:cs="Roboto"/>
          <w:sz w:val="21"/>
          <w:szCs w:val="21"/>
          <w:highlight w:val="white"/>
        </w:rPr>
        <w:t xml:space="preserve">, M., </w:t>
      </w:r>
      <w:proofErr w:type="spellStart"/>
      <w:r>
        <w:rPr>
          <w:rFonts w:ascii="Roboto" w:eastAsia="Roboto" w:hAnsi="Roboto" w:cs="Roboto"/>
          <w:sz w:val="21"/>
          <w:szCs w:val="21"/>
          <w:highlight w:val="white"/>
        </w:rPr>
        <w:t>Korreck</w:t>
      </w:r>
      <w:proofErr w:type="spellEnd"/>
      <w:r>
        <w:rPr>
          <w:rFonts w:ascii="Roboto" w:eastAsia="Roboto" w:hAnsi="Roboto" w:cs="Roboto"/>
          <w:sz w:val="21"/>
          <w:szCs w:val="21"/>
          <w:highlight w:val="white"/>
        </w:rPr>
        <w:t xml:space="preserve">, J., Hollis, G., Childers, G., &amp; </w:t>
      </w:r>
      <w:proofErr w:type="spellStart"/>
      <w:r>
        <w:rPr>
          <w:rFonts w:ascii="Roboto" w:eastAsia="Roboto" w:hAnsi="Roboto" w:cs="Roboto"/>
          <w:sz w:val="21"/>
          <w:szCs w:val="21"/>
          <w:highlight w:val="white"/>
        </w:rPr>
        <w:t>Zwadyk</w:t>
      </w:r>
      <w:proofErr w:type="spellEnd"/>
      <w:r>
        <w:rPr>
          <w:rFonts w:ascii="Roboto" w:eastAsia="Roboto" w:hAnsi="Roboto" w:cs="Roboto"/>
          <w:sz w:val="21"/>
          <w:szCs w:val="21"/>
          <w:highlight w:val="white"/>
        </w:rPr>
        <w:t xml:space="preserve">, B. (2019). </w:t>
      </w:r>
      <w:proofErr w:type="spellStart"/>
      <w:r>
        <w:rPr>
          <w:rFonts w:ascii="Roboto" w:eastAsia="Roboto" w:hAnsi="Roboto" w:cs="Roboto"/>
          <w:sz w:val="21"/>
          <w:szCs w:val="21"/>
          <w:highlight w:val="white"/>
        </w:rPr>
        <w:t>CollectivED</w:t>
      </w:r>
      <w:proofErr w:type="spellEnd"/>
      <w:r>
        <w:rPr>
          <w:rFonts w:ascii="Roboto" w:eastAsia="Roboto" w:hAnsi="Roboto" w:cs="Roboto"/>
          <w:sz w:val="21"/>
          <w:szCs w:val="21"/>
          <w:highlight w:val="white"/>
        </w:rPr>
        <w:t xml:space="preserve"> Working Papers. Working Papers from </w:t>
      </w:r>
      <w:proofErr w:type="spellStart"/>
      <w:r>
        <w:rPr>
          <w:rFonts w:ascii="Roboto" w:eastAsia="Roboto" w:hAnsi="Roboto" w:cs="Roboto"/>
          <w:sz w:val="21"/>
          <w:szCs w:val="21"/>
          <w:highlight w:val="white"/>
        </w:rPr>
        <w:t>CollectED</w:t>
      </w:r>
      <w:proofErr w:type="spellEnd"/>
      <w:r>
        <w:rPr>
          <w:rFonts w:ascii="Roboto" w:eastAsia="Roboto" w:hAnsi="Roboto" w:cs="Roboto"/>
          <w:sz w:val="21"/>
          <w:szCs w:val="21"/>
          <w:highlight w:val="white"/>
        </w:rPr>
        <w:t xml:space="preserve">; the Centre for Mentoring, </w:t>
      </w:r>
      <w:proofErr w:type="spellStart"/>
      <w:r>
        <w:rPr>
          <w:rFonts w:ascii="Roboto" w:eastAsia="Roboto" w:hAnsi="Roboto" w:cs="Roboto"/>
          <w:sz w:val="21"/>
          <w:szCs w:val="21"/>
          <w:highlight w:val="white"/>
        </w:rPr>
        <w:t>Coahing</w:t>
      </w:r>
      <w:proofErr w:type="spellEnd"/>
      <w:r>
        <w:rPr>
          <w:rFonts w:ascii="Roboto" w:eastAsia="Roboto" w:hAnsi="Roboto" w:cs="Roboto"/>
          <w:sz w:val="21"/>
          <w:szCs w:val="21"/>
          <w:highlight w:val="white"/>
        </w:rPr>
        <w:t xml:space="preserve"> and Professional Learning Leeds-Beckett University Carnegie School of Education, 9, 40–47.  </w:t>
      </w:r>
      <w:hyperlink r:id="rId13">
        <w:r>
          <w:rPr>
            <w:rFonts w:ascii="Roboto" w:eastAsia="Roboto" w:hAnsi="Roboto" w:cs="Roboto"/>
            <w:color w:val="1A73E8"/>
            <w:sz w:val="21"/>
            <w:szCs w:val="21"/>
            <w:highlight w:val="white"/>
            <w:u w:val="single"/>
          </w:rPr>
          <w:t>https://www.leedsbeckett.ac.uk/-/media/files/research/collectived/collectived-issue-9-oct-2019-final.pdf</w:t>
        </w:r>
      </w:hyperlink>
    </w:p>
    <w:p w14:paraId="00000033" w14:textId="77777777" w:rsidR="0013107F" w:rsidRDefault="0013107F">
      <w:pPr>
        <w:widowControl w:val="0"/>
        <w:pBdr>
          <w:top w:val="nil"/>
          <w:left w:val="nil"/>
          <w:bottom w:val="nil"/>
          <w:right w:val="nil"/>
          <w:between w:val="nil"/>
        </w:pBdr>
        <w:spacing w:before="248" w:line="240" w:lineRule="auto"/>
        <w:ind w:left="25"/>
        <w:rPr>
          <w:rFonts w:ascii="Calibri" w:eastAsia="Calibri" w:hAnsi="Calibri" w:cs="Calibri"/>
          <w:color w:val="1155CC"/>
          <w:sz w:val="24"/>
          <w:szCs w:val="24"/>
          <w:highlight w:val="white"/>
          <w:u w:val="single"/>
        </w:rPr>
      </w:pPr>
    </w:p>
    <w:sectPr w:rsidR="0013107F">
      <w:pgSz w:w="12240" w:h="15840"/>
      <w:pgMar w:top="422" w:right="1144" w:bottom="916" w:left="143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105B1"/>
    <w:multiLevelType w:val="multilevel"/>
    <w:tmpl w:val="2118EF5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B2C66BB"/>
    <w:multiLevelType w:val="multilevel"/>
    <w:tmpl w:val="BC0814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6E545521"/>
    <w:multiLevelType w:val="multilevel"/>
    <w:tmpl w:val="27A656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961103962">
    <w:abstractNumId w:val="0"/>
  </w:num>
  <w:num w:numId="2" w16cid:durableId="410274745">
    <w:abstractNumId w:val="1"/>
  </w:num>
  <w:num w:numId="3" w16cid:durableId="1134565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07F"/>
    <w:rsid w:val="0013107F"/>
    <w:rsid w:val="00750C2A"/>
    <w:rsid w:val="007B3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C41D01-C87A-46C3-AD2B-D9F67268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psva.us/post/school-board-meeting-november-16-2021/" TargetMode="External"/><Relationship Id="rId13" Type="http://schemas.openxmlformats.org/officeDocument/2006/relationships/hyperlink" Target="https://www.leedsbeckett.ac.uk/-/media/files/research/collectived/collectived-issue-9-oct-2019-final.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iles.eric.ed.gov/fulltext/EJ1230726.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virginia.gov/data-policy-funding/data-reports/statistics-reports/accreditation-federal-reports/soa-school-accreditat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doe.virginia.gov/teaching-learning-assessment/k-12-standards-instruction/career-and-technical-education-cte/hqwbl" TargetMode="External"/><Relationship Id="rId4" Type="http://schemas.openxmlformats.org/officeDocument/2006/relationships/numbering" Target="numbering.xml"/><Relationship Id="rId9" Type="http://schemas.openxmlformats.org/officeDocument/2006/relationships/hyperlink" Target="https://www.apsva.us/post/school-board-meeting-november-16-202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38e3c6-6932-465b-b968-ac43f2922a97"/>
    <lcf76f155ced4ddcb4097134ff3c332f xmlns="68d0bd56-936d-43b0-a6b3-da213910f2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8011003838FF4DA8E3BB80CFA3A7AB" ma:contentTypeVersion="16" ma:contentTypeDescription="Create a new document." ma:contentTypeScope="" ma:versionID="86fdfba8134a1f9a9dfca8008efb0adc">
  <xsd:schema xmlns:xsd="http://www.w3.org/2001/XMLSchema" xmlns:xs="http://www.w3.org/2001/XMLSchema" xmlns:p="http://schemas.microsoft.com/office/2006/metadata/properties" xmlns:ns2="68d0bd56-936d-43b0-a6b3-da213910f2bd" xmlns:ns3="f438e3c6-6932-465b-b968-ac43f2922a97" targetNamespace="http://schemas.microsoft.com/office/2006/metadata/properties" ma:root="true" ma:fieldsID="274260dd7563dc52b4feb497d6aa3f7f" ns2:_="" ns3:_="">
    <xsd:import namespace="68d0bd56-936d-43b0-a6b3-da213910f2bd"/>
    <xsd:import namespace="f438e3c6-6932-465b-b968-ac43f2922a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0bd56-936d-43b0-a6b3-da213910f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841497-3186-4026-9378-9570041900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38e3c6-6932-465b-b968-ac43f2922a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98c3800-2d6e-4b23-982a-85b7a256e002}" ma:internalName="TaxCatchAll" ma:showField="CatchAllData" ma:web="f438e3c6-6932-465b-b968-ac43f2922a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D3F09-D483-438F-9457-E8D091709775}">
  <ds:schemaRefs>
    <ds:schemaRef ds:uri="http://schemas.microsoft.com/office/2006/metadata/properties"/>
    <ds:schemaRef ds:uri="http://schemas.microsoft.com/office/infopath/2007/PartnerControls"/>
    <ds:schemaRef ds:uri="f438e3c6-6932-465b-b968-ac43f2922a97"/>
    <ds:schemaRef ds:uri="68d0bd56-936d-43b0-a6b3-da213910f2bd"/>
  </ds:schemaRefs>
</ds:datastoreItem>
</file>

<file path=customXml/itemProps2.xml><?xml version="1.0" encoding="utf-8"?>
<ds:datastoreItem xmlns:ds="http://schemas.openxmlformats.org/officeDocument/2006/customXml" ds:itemID="{C8739DBC-34AD-4D36-A001-AD4D2EA057AA}">
  <ds:schemaRefs>
    <ds:schemaRef ds:uri="http://schemas.microsoft.com/sharepoint/v3/contenttype/forms"/>
  </ds:schemaRefs>
</ds:datastoreItem>
</file>

<file path=customXml/itemProps3.xml><?xml version="1.0" encoding="utf-8"?>
<ds:datastoreItem xmlns:ds="http://schemas.openxmlformats.org/officeDocument/2006/customXml" ds:itemID="{D18B8E1A-411C-415B-B7B8-8FAFAD691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d0bd56-936d-43b0-a6b3-da213910f2bd"/>
    <ds:schemaRef ds:uri="f438e3c6-6932-465b-b968-ac43f2922a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1205</Words>
  <Characters>6873</Characters>
  <Application>Microsoft Office Word</Application>
  <DocSecurity>0</DocSecurity>
  <Lines>57</Lines>
  <Paragraphs>16</Paragraphs>
  <ScaleCrop>false</ScaleCrop>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Roahen Rizzo</dc:creator>
  <cp:lastModifiedBy>Jenny Roahen Rizzo</cp:lastModifiedBy>
  <cp:revision>2</cp:revision>
  <cp:lastPrinted>2023-01-05T18:17:00Z</cp:lastPrinted>
  <dcterms:created xsi:type="dcterms:W3CDTF">2023-01-05T18:18:00Z</dcterms:created>
  <dcterms:modified xsi:type="dcterms:W3CDTF">2023-01-05T18:18:00Z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0x0101009A8011003838FF4DA8E3BB80CFA3A7AB</vt:lpwstr>
  </property>
</Properties>
</file>